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CE799">
      <w:pPr>
        <w:widowControl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附件 1：</w:t>
      </w:r>
    </w:p>
    <w:p w14:paraId="0C605021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CE53780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AC8076C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C32D466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A00C47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0F47F61">
      <w:pPr>
        <w:widowControl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  <w:kern w:val="2"/>
          <w:sz w:val="40"/>
          <w:szCs w:val="40"/>
          <w:lang w:eastAsia="zh-CN"/>
        </w:rPr>
        <w:t>2023 年度</w:t>
      </w:r>
    </w:p>
    <w:p w14:paraId="15DA04B4">
      <w:pPr>
        <w:widowControl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40"/>
          <w:szCs w:val="40"/>
          <w:lang w:eastAsia="zh-CN"/>
        </w:rPr>
      </w:pPr>
    </w:p>
    <w:p w14:paraId="1B5AD9EF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长春五棵树现代农业产业开发区管理委员会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部门决算</w:t>
      </w:r>
    </w:p>
    <w:p w14:paraId="51C805A4">
      <w:pPr>
        <w:widowControl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6"/>
          <w:szCs w:val="36"/>
          <w:lang w:eastAsia="zh-CN"/>
        </w:rPr>
      </w:pPr>
    </w:p>
    <w:p w14:paraId="617DAD1D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516DEAB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DA3F9AC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E40CC5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B44263E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8F7F31A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91F5359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C3D711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092F7FE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44D1403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D5D38DD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63292C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5F3BAE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911E87E">
      <w:pPr>
        <w:widowControl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32"/>
          <w:szCs w:val="32"/>
          <w:lang w:eastAsia="zh-CN"/>
        </w:rPr>
        <w:t>2024年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kern w:val="2"/>
          <w:sz w:val="32"/>
          <w:szCs w:val="32"/>
          <w:lang w:eastAsia="zh-CN"/>
        </w:rPr>
        <w:t>月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/>
        </w:rPr>
        <w:t>25</w:t>
      </w:r>
      <w:r>
        <w:rPr>
          <w:rFonts w:hint="eastAsia" w:ascii="宋体" w:hAnsi="宋体" w:eastAsia="宋体" w:cs="宋体"/>
          <w:kern w:val="2"/>
          <w:sz w:val="32"/>
          <w:szCs w:val="32"/>
          <w:lang w:eastAsia="zh-CN"/>
        </w:rPr>
        <w:t>日</w:t>
      </w:r>
    </w:p>
    <w:p w14:paraId="54879B28">
      <w:pPr>
        <w:widowControl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2"/>
          <w:sz w:val="32"/>
          <w:szCs w:val="32"/>
          <w:lang w:eastAsia="zh-CN"/>
        </w:rPr>
        <w:sectPr>
          <w:headerReference r:id="rId5" w:type="default"/>
          <w:footerReference r:id="rId6" w:type="default"/>
          <w:pgSz w:w="11907" w:h="16839"/>
          <w:pgMar w:top="1431" w:right="1785" w:bottom="1153" w:left="1785" w:header="0" w:footer="965" w:gutter="0"/>
          <w:pgNumType w:fmt="decimal" w:start="1"/>
          <w:cols w:space="720" w:num="1"/>
        </w:sectPr>
      </w:pPr>
    </w:p>
    <w:p w14:paraId="3E388C9E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46D1D51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3ECD8F3">
      <w:pPr>
        <w:spacing w:before="140" w:line="360" w:lineRule="auto"/>
        <w:ind w:left="3502"/>
        <w:jc w:val="both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eastAsia="zh-CN"/>
        </w:rPr>
        <w:t>目   录</w:t>
      </w:r>
    </w:p>
    <w:p w14:paraId="58C0A457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27681F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89D8B62">
      <w:pPr>
        <w:spacing w:before="101" w:line="360" w:lineRule="auto"/>
        <w:ind w:left="4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第一部分</w:t>
      </w:r>
      <w:r>
        <w:rPr>
          <w:rFonts w:hint="eastAsia" w:ascii="宋体" w:hAnsi="宋体" w:eastAsia="宋体" w:cs="宋体"/>
          <w:spacing w:val="18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部门概况</w:t>
      </w:r>
    </w:p>
    <w:p w14:paraId="65F58DDC">
      <w:pPr>
        <w:spacing w:before="249" w:line="360" w:lineRule="auto"/>
        <w:ind w:left="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一、部门职责</w:t>
      </w:r>
    </w:p>
    <w:p w14:paraId="55BB9780">
      <w:pPr>
        <w:spacing w:before="250" w:line="360" w:lineRule="auto"/>
        <w:ind w:left="4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二、机构设置及部门决算单位构成</w:t>
      </w:r>
    </w:p>
    <w:p w14:paraId="546606B0">
      <w:pPr>
        <w:spacing w:before="250" w:line="360" w:lineRule="auto"/>
        <w:ind w:left="49"/>
        <w:jc w:val="both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第二部分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年度部门决算表</w:t>
      </w:r>
    </w:p>
    <w:p w14:paraId="13AC2AB0">
      <w:pPr>
        <w:spacing w:before="250" w:line="360" w:lineRule="auto"/>
        <w:ind w:left="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一、收入支出决算总表</w:t>
      </w:r>
    </w:p>
    <w:p w14:paraId="56468133">
      <w:pPr>
        <w:spacing w:before="250" w:line="360" w:lineRule="auto"/>
        <w:ind w:left="4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二、收入决算表</w:t>
      </w:r>
    </w:p>
    <w:p w14:paraId="3CB7DB1A">
      <w:pPr>
        <w:spacing w:before="249" w:line="360" w:lineRule="auto"/>
        <w:ind w:left="4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三、支出决算表</w:t>
      </w:r>
    </w:p>
    <w:p w14:paraId="40783E18">
      <w:pPr>
        <w:spacing w:before="250" w:line="360" w:lineRule="auto"/>
        <w:ind w:left="7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四、财政拨款收入支出决算总表</w:t>
      </w:r>
    </w:p>
    <w:p w14:paraId="79C71F62">
      <w:pPr>
        <w:spacing w:before="249" w:line="360" w:lineRule="auto"/>
        <w:ind w:left="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五、一般公共预算财政拨款支出决算表</w:t>
      </w:r>
    </w:p>
    <w:p w14:paraId="6F8CA916">
      <w:pPr>
        <w:spacing w:before="250" w:line="360" w:lineRule="auto"/>
        <w:ind w:left="38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六、一般公共预算财政拨款基本支出决算明细表</w:t>
      </w:r>
    </w:p>
    <w:p w14:paraId="29AC19B9">
      <w:pPr>
        <w:spacing w:before="251" w:line="360" w:lineRule="auto"/>
        <w:ind w:left="41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七、政府性基金预算财政拨款收入支出决算表</w:t>
      </w:r>
    </w:p>
    <w:p w14:paraId="41C2AED4">
      <w:pPr>
        <w:spacing w:before="252" w:line="360" w:lineRule="auto"/>
        <w:ind w:left="3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八、</w:t>
      </w:r>
      <w:r>
        <w:rPr>
          <w:rFonts w:hint="eastAsia"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国有资本经营预算财政拨款支出决算表</w:t>
      </w:r>
    </w:p>
    <w:p w14:paraId="05ECAD98">
      <w:pPr>
        <w:spacing w:before="249" w:line="360" w:lineRule="auto"/>
        <w:ind w:left="47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九、财政拨款“三公”经费支出决算表</w:t>
      </w:r>
    </w:p>
    <w:p w14:paraId="4C3B456A">
      <w:pPr>
        <w:spacing w:before="250" w:line="360" w:lineRule="auto"/>
        <w:ind w:left="4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十、部门预算项目支出绩效自评表</w:t>
      </w:r>
    </w:p>
    <w:p w14:paraId="4E275FD7">
      <w:pPr>
        <w:spacing w:before="249" w:line="360" w:lineRule="auto"/>
        <w:ind w:left="49"/>
        <w:jc w:val="both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3"/>
          <w:sz w:val="24"/>
          <w:szCs w:val="24"/>
        </w:rPr>
        <w:t>第三部分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pacing w:val="3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4"/>
          <w:szCs w:val="24"/>
        </w:rPr>
        <w:t>年度部门决算情况说明</w:t>
      </w:r>
    </w:p>
    <w:p w14:paraId="529303E6">
      <w:pPr>
        <w:spacing w:before="250" w:line="360" w:lineRule="auto"/>
        <w:ind w:left="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一、收入支出决算总体情况说明</w:t>
      </w:r>
    </w:p>
    <w:p w14:paraId="34BC93D0">
      <w:pPr>
        <w:spacing w:before="250" w:line="360" w:lineRule="auto"/>
        <w:ind w:left="4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二、收入决算情况说明</w:t>
      </w:r>
    </w:p>
    <w:p w14:paraId="04D6B7C4">
      <w:pPr>
        <w:spacing w:before="250" w:line="360" w:lineRule="auto"/>
        <w:ind w:left="4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三、支出决算情况说明</w:t>
      </w:r>
    </w:p>
    <w:p w14:paraId="747544F0">
      <w:pPr>
        <w:spacing w:before="249" w:line="360" w:lineRule="auto"/>
        <w:ind w:left="7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四、财政拨款收入支出决算总体情况说明</w:t>
      </w:r>
    </w:p>
    <w:p w14:paraId="19AA355E">
      <w:pPr>
        <w:spacing w:before="159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五、一般公共预算财政拨款支出决算情况说明</w:t>
      </w:r>
    </w:p>
    <w:p w14:paraId="61E9AD31">
      <w:pPr>
        <w:spacing w:before="249" w:line="360" w:lineRule="auto"/>
        <w:ind w:left="38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六、一般公共预算财政拨款基本支出决算情况说明</w:t>
      </w:r>
    </w:p>
    <w:p w14:paraId="121B86B0">
      <w:pPr>
        <w:spacing w:before="250" w:line="360" w:lineRule="auto"/>
        <w:ind w:left="41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七、政府性基金预算财政拨款收入支出决算情况说明</w:t>
      </w:r>
    </w:p>
    <w:p w14:paraId="50C4ACC4">
      <w:pPr>
        <w:spacing w:before="251" w:line="360" w:lineRule="auto"/>
        <w:ind w:left="3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八、</w:t>
      </w:r>
      <w:r>
        <w:rPr>
          <w:rFonts w:hint="eastAsia"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国有资本经营预算财政拨款支出决算情况说明</w:t>
      </w:r>
    </w:p>
    <w:p w14:paraId="2F531AFB">
      <w:pPr>
        <w:spacing w:before="250" w:line="360" w:lineRule="auto"/>
        <w:ind w:left="47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九、财政拨款“三公”经费支出决算情况说明</w:t>
      </w:r>
    </w:p>
    <w:p w14:paraId="33BF0BD6">
      <w:pPr>
        <w:spacing w:before="249" w:line="360" w:lineRule="auto"/>
        <w:ind w:left="4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十、绩效评价情况说明</w:t>
      </w:r>
    </w:p>
    <w:p w14:paraId="74F43A95">
      <w:pPr>
        <w:spacing w:before="248" w:line="360" w:lineRule="auto"/>
        <w:ind w:left="4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十一、其他重要事项情况说明</w:t>
      </w:r>
    </w:p>
    <w:p w14:paraId="46A51098">
      <w:pPr>
        <w:spacing w:before="250" w:line="360" w:lineRule="auto"/>
        <w:ind w:left="4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第四部分</w:t>
      </w:r>
      <w:r>
        <w:rPr>
          <w:rFonts w:hint="eastAsia" w:ascii="宋体" w:hAnsi="宋体" w:eastAsia="宋体" w:cs="宋体"/>
          <w:spacing w:val="18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名词解释</w:t>
      </w:r>
    </w:p>
    <w:p w14:paraId="0CB9F7A3">
      <w:pPr>
        <w:spacing w:before="189" w:line="360" w:lineRule="auto"/>
        <w:jc w:val="both"/>
        <w:outlineLvl w:val="0"/>
        <w:rPr>
          <w:rFonts w:hint="eastAsia" w:ascii="宋体" w:hAnsi="宋体" w:eastAsia="宋体" w:cs="宋体"/>
          <w:b/>
          <w:bCs/>
          <w:spacing w:val="1"/>
          <w:position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"/>
          <w:position w:val="-2"/>
          <w:sz w:val="24"/>
          <w:szCs w:val="24"/>
          <w:lang w:val="en-US" w:eastAsia="zh-CN"/>
        </w:rPr>
        <w:t xml:space="preserve">      </w:t>
      </w:r>
    </w:p>
    <w:p w14:paraId="2764D481">
      <w:pPr>
        <w:spacing w:before="189"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1"/>
          <w:position w:val="-2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spacing w:val="1"/>
          <w:position w:val="-2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1"/>
          <w:position w:val="-2"/>
          <w:sz w:val="36"/>
          <w:szCs w:val="36"/>
        </w:rPr>
        <w:t>第一部分</w:t>
      </w:r>
      <w:r>
        <w:rPr>
          <w:rFonts w:hint="eastAsia" w:ascii="宋体" w:hAnsi="宋体" w:eastAsia="宋体" w:cs="宋体"/>
          <w:b/>
          <w:bCs/>
          <w:spacing w:val="14"/>
          <w:position w:val="-2"/>
          <w:sz w:val="36"/>
          <w:szCs w:val="36"/>
        </w:rPr>
        <w:t xml:space="preserve">   </w:t>
      </w:r>
      <w:r>
        <w:rPr>
          <w:rFonts w:hint="eastAsia" w:ascii="宋体" w:hAnsi="宋体" w:eastAsia="宋体" w:cs="宋体"/>
          <w:b/>
          <w:bCs/>
          <w:spacing w:val="1"/>
          <w:position w:val="-2"/>
          <w:sz w:val="36"/>
          <w:szCs w:val="36"/>
        </w:rPr>
        <w:t>部门概况</w:t>
      </w:r>
    </w:p>
    <w:p w14:paraId="4865A9AD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AF146D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DB75C2C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A477ABB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一、部门职责</w:t>
      </w:r>
    </w:p>
    <w:p w14:paraId="5911B413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共长春五棵树经济开发区工作委员会、长春五棵树经济开发区管理委员会贯彻落实党中央和省委、市委关于开发区工作的方针政策和决策部署，在履行职责过程中坚持和加强党对开发区工作的集中统一领导。主要职责是：</w:t>
      </w:r>
    </w:p>
    <w:p w14:paraId="55D6B75A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（一）负责辖区党建工作；负责开展辖区人才工作；负责开发区整体形象宣传和对外交流等工作；负责开发区机关及所属企事业单位党的建设、精神文明建设、党风廉政建设、干部人事管理等工作。</w:t>
      </w:r>
    </w:p>
    <w:p w14:paraId="2AB06BBD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（二）贯彻落实党和国家及省、市的方针政策、法律法规和决策部署，研究制定和编制开发区发展规划、政策措施及各项计划等并组织实施，促进开发区创新发展。</w:t>
      </w:r>
    </w:p>
    <w:p w14:paraId="3672B503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（三）依据国家和省、市产业政策，组织编制产业发展目录，统筹产业布局，突出主导产业，重点聚焦玉米化工、酒品酿造、畜禽加工、生物制药、非粮生物质等产业，协调推进辖区内重大投资项目建设。</w:t>
      </w:r>
    </w:p>
    <w:p w14:paraId="23ACD282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（四）负责发展改革、工业与信息化、科学技术创新、统计工作；负责辖区创新驱动发展体制机制研究及综合改革工作。</w:t>
      </w:r>
    </w:p>
    <w:p w14:paraId="171735F8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（五）负责推进开发区对外开放合作，按区域产业整体布局制定招商引资政策，组织重大项目招商活动；负责优化开发区营商环境。</w:t>
      </w:r>
    </w:p>
    <w:p w14:paraId="1152F95D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（六）承接并行使省、市赋予的行政权力事项，承担辖区经济管理和开发建设等相关行政审批服务事务，负责辖区行政审批制度改革工作。</w:t>
      </w:r>
    </w:p>
    <w:p w14:paraId="04BEBB5F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（七）负责统筹辖区国土资源管理相关工作，包括重要资源、关键要素的统一配置与管理工作；负责辖区有关重大基础设施项目和重大公共项目的建设、维护、管理工作。</w:t>
      </w:r>
    </w:p>
    <w:p w14:paraId="06BF4200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（八）负责财政、审计工作，管理和监督国有资产；负责统筹协调税收征管相关工作。</w:t>
      </w:r>
    </w:p>
    <w:p w14:paraId="554944E5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（九）负责辖区应急管理工作，依法履行辖区内的安全生产监督管理职责；负责辖区生态文明建设。</w:t>
      </w:r>
    </w:p>
    <w:p w14:paraId="32AEBF29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（十）完成市委、市政府交办的其他事项。</w:t>
      </w:r>
    </w:p>
    <w:p w14:paraId="51FE38DB">
      <w:pPr>
        <w:numPr>
          <w:ilvl w:val="0"/>
          <w:numId w:val="1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机构设置及部门决算单位构成</w:t>
      </w:r>
    </w:p>
    <w:p w14:paraId="70A740B8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中共长春五棵树经济开发区工作委员会、长春五棵树经济开发区管理委员会设下列内设机构：</w:t>
      </w:r>
    </w:p>
    <w:p w14:paraId="7C80B376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（一）党建工作办公室：负责干部管理、基层党建、人才、机构编制、工资福利管理等工作。</w:t>
      </w:r>
    </w:p>
    <w:p w14:paraId="1C3BA985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（二）综合办公室：负责开发区日常运转，承担管委会文电、会务、机要、保密、档案、信访、统计、政务公开、信息化建设、固定资产、后勤保障等工作。</w:t>
      </w:r>
    </w:p>
    <w:p w14:paraId="7B70CD52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发展和改革局：负责拟定开发区中长期经济和社会发展规划并组织实施；负责贯彻落实产业政策，搞好宏观经济预测和分析研究；负责开发区固定资产投资管理工作；负责对开发区企业的各项检查、考评活动的管理；负责协助企业办理规划、土地、环保审批事项工作，做好指导和跟踪服务。</w:t>
      </w:r>
    </w:p>
    <w:p w14:paraId="4A15F1F8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财政局：负责拟订开发区财政发展规划，编制财政预（决）算并组织实施；负责组织财政收入、管理财政支出、调度财政资金；负责项目建设资金财政评审工作；负责统筹协调税收征管相关工作；承担开发区国有企业监管和国有资产监督管理工作；负责贯彻落实国家和省、市金融发展战略、金融改革创新政策，制定投融资方案并组织落实；负责投融资项目洽谈跟踪，提出化解开发区存量债务的措施；负责各类金融机构的沟通、协调、服务工作；负责指导、协调企业金融服务工作。建立健全金融风险防范与处置工作机制，牵头开展防范和处置非法集资活动。</w:t>
      </w:r>
    </w:p>
    <w:p w14:paraId="64246404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（五）招商一局：负责制定招商引资规划和年度计划；负责招商引资项目推介、洽谈、签约工作；负责经济合作交流工作，联系外阜商协会及榆树驻外地商协会等机构，做好对接、协调和服务工作。</w:t>
      </w:r>
    </w:p>
    <w:p w14:paraId="208894DF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六）招商二局：负责招商引资政策调研、落实等工作；负责招商引资项目信息收集、整理，信息网络建设和宣传工作；负责招商引资项目的谋划、包装工作，建立项目数据库；组织参加各类展销、展览等经贸活动，承办经济合作交流代表团来访的联络、协调和接待工作，组织有关企业和单位参加对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洽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谈活动；负责招商引资项目的协调、调度、统计上报工作。</w:t>
      </w:r>
    </w:p>
    <w:p w14:paraId="5BEEA9EE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七）投资服务局：负责落地项目行政许可、基础设施配套建设工作；负责开发区基础设施维护管理工作；负责开发区创新发展和投融资平台建设工作；负责政府投资基础设施项目管理，抓好项目设计阶段的投资控制及施工过程中的组织、协调、监督、管理工作；负责编制项目的年度开发计划，按照目标计划监督开发项目和所属相关部门贯彻执行，实施计划管理工作。</w:t>
      </w:r>
    </w:p>
    <w:p w14:paraId="1DC450CC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八）建设局：负责落实开发区国土空间规划、总体规划和控制性详规；组织实施开发区各类工程建设规划、质量安全监督管理等工作；负责拟定招标工作计划；负责工程竣工验收、协调解决工程施工中遇到的各种问题和矛盾；负责工程档案的管理、登记和利用工作。</w:t>
      </w:r>
    </w:p>
    <w:p w14:paraId="65F259A7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九）应急管理局：负责辖区应急管理、应急救援工作；负责辖区安全生产监督管理工作；负责防灾减灾救灾工作；负责组织开展辖区安全生产宣传教育工作；负责协调生态环境部门，履行属地监管责任，做好突发生态环境事件的预警、应急和污染防治等相关工作。</w:t>
      </w:r>
    </w:p>
    <w:p w14:paraId="141E3DBF">
      <w:pPr>
        <w:spacing w:line="360" w:lineRule="auto"/>
        <w:ind w:firstLine="6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（十）环城工业集中区管理办公室：负责集中区内落户项目建设、运行的全程服务；负责向开发区反映企业诉求、协调项目推进、做好项目统计服务等工作；负责园区内企业安全检查和安全事故的处理工作。</w:t>
      </w:r>
    </w:p>
    <w:p w14:paraId="458C156C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6A9E716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B348B09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7348271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F4BD931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60291B1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97D264B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</w:t>
      </w:r>
    </w:p>
    <w:p w14:paraId="3E2981FE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F9280C0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4CD0FB6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5B09137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983C2D6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7151A59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8C6A080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509430C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A7B6C64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B1A696B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A43FE17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3E6D3DA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BF3D117">
      <w:pPr>
        <w:spacing w:before="189" w:line="360" w:lineRule="auto"/>
        <w:ind w:left="1142"/>
        <w:jc w:val="both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第二部分</w:t>
      </w:r>
      <w:r>
        <w:rPr>
          <w:rFonts w:hint="eastAsia" w:ascii="宋体" w:hAnsi="宋体" w:eastAsia="宋体" w:cs="宋体"/>
          <w:b/>
          <w:bCs/>
          <w:spacing w:val="111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2023</w:t>
      </w:r>
      <w:r>
        <w:rPr>
          <w:rFonts w:hint="eastAsia" w:ascii="宋体" w:hAnsi="宋体" w:eastAsia="宋体" w:cs="宋体"/>
          <w:b/>
          <w:bCs/>
          <w:spacing w:val="-103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年度部门决算表</w:t>
      </w:r>
    </w:p>
    <w:p w14:paraId="1B707EEA">
      <w:pPr>
        <w:pStyle w:val="2"/>
        <w:spacing w:line="360" w:lineRule="auto"/>
        <w:jc w:val="both"/>
        <w:rPr>
          <w:rFonts w:hint="eastAsia" w:ascii="宋体" w:hAnsi="宋体" w:eastAsia="宋体" w:cs="宋体"/>
          <w:sz w:val="36"/>
          <w:szCs w:val="36"/>
        </w:rPr>
      </w:pPr>
    </w:p>
    <w:p w14:paraId="782A3D97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FEEA28D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417624F">
      <w:pPr>
        <w:spacing w:before="100" w:line="360" w:lineRule="auto"/>
        <w:ind w:left="672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一、收入支出决算总表</w:t>
      </w:r>
    </w:p>
    <w:p w14:paraId="3AACE29B">
      <w:pPr>
        <w:spacing w:before="101" w:line="360" w:lineRule="auto"/>
        <w:ind w:firstLine="19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118"/>
          <w:sz w:val="24"/>
          <w:szCs w:val="24"/>
          <w:lang w:val="en-US" w:eastAsia="en-US" w:bidi="ar-SA"/>
        </w:rPr>
        <w:pict>
          <v:shape id="_x0000_i1025" o:spt="75" type="#_x0000_t75" style="height:295.9pt;width:397.25pt;" fillcolor="#FFFFFF" filled="f" o:preferrelative="t" stroked="f" coordsize="21600,21600">
            <v:path/>
            <v:fill on="f" color2="#FFFFFF" focussize="0,0"/>
            <v:stroke on="f"/>
            <v:imagedata r:id="rId11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1EBA0917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0147884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989E00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982F0CD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856AAF4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b/>
          <w:bCs/>
          <w:spacing w:val="7"/>
          <w:sz w:val="24"/>
          <w:szCs w:val="24"/>
        </w:rPr>
      </w:pPr>
    </w:p>
    <w:p w14:paraId="20BE7649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b/>
          <w:bCs/>
          <w:spacing w:val="7"/>
          <w:sz w:val="24"/>
          <w:szCs w:val="24"/>
        </w:rPr>
      </w:pPr>
    </w:p>
    <w:p w14:paraId="5ADCD9AC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b/>
          <w:bCs/>
          <w:spacing w:val="7"/>
          <w:sz w:val="24"/>
          <w:szCs w:val="24"/>
        </w:rPr>
      </w:pPr>
    </w:p>
    <w:p w14:paraId="3018E65E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b/>
          <w:bCs/>
          <w:spacing w:val="7"/>
          <w:sz w:val="24"/>
          <w:szCs w:val="24"/>
        </w:rPr>
      </w:pPr>
    </w:p>
    <w:p w14:paraId="6B50E984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b/>
          <w:bCs/>
          <w:spacing w:val="7"/>
          <w:sz w:val="24"/>
          <w:szCs w:val="24"/>
        </w:rPr>
      </w:pPr>
    </w:p>
    <w:p w14:paraId="2B95EEB1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b/>
          <w:bCs/>
          <w:spacing w:val="7"/>
          <w:sz w:val="24"/>
          <w:szCs w:val="24"/>
        </w:rPr>
      </w:pPr>
    </w:p>
    <w:p w14:paraId="45009610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二、收入决算表</w:t>
      </w:r>
    </w:p>
    <w:p w14:paraId="3C2E5918">
      <w:pPr>
        <w:spacing w:before="209" w:line="360" w:lineRule="auto"/>
        <w:ind w:firstLine="32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114"/>
          <w:sz w:val="24"/>
          <w:szCs w:val="24"/>
          <w:lang w:val="en-US" w:eastAsia="en-US" w:bidi="ar-SA"/>
        </w:rPr>
        <w:pict>
          <v:shape id="_x0000_i1031" o:spt="75" type="#_x0000_t75" style="height:285.05pt;width:384.2pt;" fillcolor="#FFFFFF" filled="f" o:preferrelative="t" stroked="f" coordsize="21600,21600">
            <v:path/>
            <v:fill on="f" color2="#FFFFFF" focussize="0,0"/>
            <v:stroke on="f"/>
            <v:imagedata r:id="rId12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6C93B381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4DF5B6A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F5D21B5">
      <w:pPr>
        <w:spacing w:before="101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三、支出决算表</w:t>
      </w:r>
    </w:p>
    <w:p w14:paraId="03CB5296">
      <w:pPr>
        <w:spacing w:before="151" w:line="360" w:lineRule="auto"/>
        <w:ind w:firstLine="2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116"/>
          <w:sz w:val="24"/>
          <w:szCs w:val="24"/>
          <w:lang w:val="en-US" w:eastAsia="en-US" w:bidi="ar-SA"/>
        </w:rPr>
        <w:pict>
          <v:shape id="_x0000_i1032" o:spt="75" type="#_x0000_t75" style="height:290.9pt;width:392.75pt;" fillcolor="#FFFFFF" filled="f" o:preferrelative="t" stroked="f" coordsize="21600,21600">
            <v:path/>
            <v:fill on="f" color2="#FFFFFF" focussize="0,0"/>
            <v:stroke on="f"/>
            <v:imagedata r:id="rId13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0266529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1EB72C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4EA1A9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00891F3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76C5DD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1416ADC">
      <w:pPr>
        <w:spacing w:before="101" w:line="360" w:lineRule="auto"/>
        <w:ind w:left="686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四、财政拨款收入支出决算总表</w:t>
      </w:r>
    </w:p>
    <w:p w14:paraId="38F4A17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58BA049">
      <w:pPr>
        <w:spacing w:line="360" w:lineRule="auto"/>
        <w:ind w:firstLine="1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87"/>
          <w:sz w:val="24"/>
          <w:szCs w:val="24"/>
          <w:lang w:val="en-US" w:eastAsia="en-US" w:bidi="ar-SA"/>
        </w:rPr>
        <w:pict>
          <v:shape id="_x0000_i1033" o:spt="75" type="#_x0000_t75" style="height:218.85pt;width:413.85pt;" fillcolor="#FFFFFF" filled="f" o:preferrelative="t" stroked="f" coordsize="21600,21600">
            <v:path/>
            <v:fill on="f" color2="#FFFFFF" focussize="0,0"/>
            <v:stroke on="f"/>
            <v:imagedata r:id="rId1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5C687A17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0188BDB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D762D36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2E47CC4">
      <w:pPr>
        <w:spacing w:before="100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五、一般公共预算财政拨款支出决算表</w:t>
      </w:r>
    </w:p>
    <w:p w14:paraId="2235494B">
      <w:pPr>
        <w:spacing w:before="229" w:line="360" w:lineRule="auto"/>
        <w:ind w:firstLine="1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82"/>
          <w:sz w:val="24"/>
          <w:szCs w:val="24"/>
          <w:lang w:val="en-US" w:eastAsia="en-US" w:bidi="ar-SA"/>
        </w:rPr>
        <w:pict>
          <v:shape id="_x0000_i1034" o:spt="75" type="#_x0000_t75" style="height:205.1pt;width:413.6pt;" fillcolor="#FFFFFF" filled="f" o:preferrelative="t" stroked="f" coordsize="21600,21600">
            <v:path/>
            <v:fill on="f" color2="#FFFFFF" focussize="0,0"/>
            <v:stroke on="f"/>
            <v:imagedata r:id="rId15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7BD4BB2B">
      <w:pPr>
        <w:spacing w:before="100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六、一般公共预算财政拨款基本支出决算明细表</w:t>
      </w:r>
    </w:p>
    <w:p w14:paraId="78F6C64A">
      <w:pPr>
        <w:spacing w:before="234" w:line="360" w:lineRule="auto"/>
        <w:ind w:firstLine="237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119"/>
          <w:sz w:val="24"/>
          <w:szCs w:val="24"/>
          <w:lang w:val="en-US" w:eastAsia="en-US" w:bidi="ar-SA"/>
        </w:rPr>
        <w:pict>
          <v:shape id="_x0000_i1035" o:spt="75" type="#_x0000_t75" style="height:298.2pt;width:393pt;" fillcolor="#FFFFFF" filled="f" o:preferrelative="t" stroked="f" coordsize="21600,21600">
            <v:path/>
            <v:fill on="f" color2="#FFFFFF" focussize="0,0"/>
            <v:stroke on="f"/>
            <v:imagedata r:id="rId1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5C9738FC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6C37B34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A1FB9D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3C4B6D1">
      <w:pPr>
        <w:spacing w:before="101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七、政府性基金预算财政拨款收入支出决算表</w:t>
      </w:r>
    </w:p>
    <w:p w14:paraId="10FC5D36">
      <w:pPr>
        <w:spacing w:before="235" w:line="360" w:lineRule="auto"/>
        <w:ind w:firstLine="24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94"/>
          <w:sz w:val="24"/>
          <w:szCs w:val="24"/>
          <w:lang w:val="en-US" w:eastAsia="en-US" w:bidi="ar-SA"/>
        </w:rPr>
        <w:pict>
          <v:shape id="_x0000_i1036" o:spt="75" type="#_x0000_t75" style="height:235.7pt;width:392.75pt;" fillcolor="#FFFFFF" filled="f" o:preferrelative="t" stroked="f" coordsize="21600,21600">
            <v:path/>
            <v:fill on="f" color2="#FFFFFF" focussize="0,0"/>
            <v:stroke on="f"/>
            <v:imagedata r:id="rId17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102F2657">
      <w:pPr>
        <w:spacing w:before="101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八、国有资本经营预算财政拨款支出决算表</w:t>
      </w:r>
    </w:p>
    <w:p w14:paraId="3DBBF609">
      <w:pPr>
        <w:spacing w:before="182" w:line="360" w:lineRule="auto"/>
        <w:ind w:firstLine="28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96"/>
          <w:sz w:val="24"/>
          <w:szCs w:val="24"/>
          <w:lang w:val="en-US" w:eastAsia="en-US" w:bidi="ar-SA"/>
        </w:rPr>
        <w:pict>
          <v:shape id="_x0000_i1037" o:spt="75" type="#_x0000_t75" style="height:240.8pt;width:413.75pt;" fillcolor="#FFFFFF" filled="f" o:preferrelative="t" stroked="f" coordsize="21600,21600">
            <v:path/>
            <v:fill on="f" color2="#FFFFFF" focussize="0,0"/>
            <v:stroke on="f"/>
            <v:imagedata r:id="rId18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2035864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F60ABE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AE242E7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C3A04D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3D77551">
      <w:pPr>
        <w:spacing w:before="101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九、财政拨款“三公”经费支出决算表</w:t>
      </w:r>
    </w:p>
    <w:p w14:paraId="6F0A63EA">
      <w:pPr>
        <w:spacing w:before="96" w:line="360" w:lineRule="auto"/>
        <w:ind w:firstLine="237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106"/>
          <w:sz w:val="24"/>
          <w:szCs w:val="24"/>
          <w:lang w:val="en-US" w:eastAsia="en-US" w:bidi="ar-SA"/>
        </w:rPr>
        <w:pict>
          <v:shape id="_x0000_i1038" o:spt="75" type="#_x0000_t75" style="height:265.1pt;width:393pt;" fillcolor="#FFFFFF" filled="f" o:preferrelative="t" stroked="f" coordsize="21600,21600">
            <v:path/>
            <v:fill on="f" color2="#FFFFFF" focussize="0,0"/>
            <v:stroke on="f"/>
            <v:imagedata r:id="rId19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3B5924EC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9A01430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760A350">
      <w:pPr>
        <w:spacing w:before="100" w:line="360" w:lineRule="auto"/>
        <w:ind w:left="3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十、部门预算项目支出绩效自评表</w:t>
      </w:r>
    </w:p>
    <w:p w14:paraId="5DE35C7C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ADE9F59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90011E3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981FB4D">
      <w:pPr>
        <w:spacing w:line="360" w:lineRule="auto"/>
        <w:ind w:firstLine="297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position w:val="-196"/>
          <w:sz w:val="24"/>
          <w:szCs w:val="24"/>
          <w:lang w:val="en-US" w:eastAsia="en-US" w:bidi="ar-SA"/>
        </w:rPr>
        <w:pict>
          <v:shape id="_x0000_i1039" o:spt="75" type="#_x0000_t75" style="height:492.3pt;width:386.85pt;" fillcolor="#FFFFFF" filled="f" o:preferrelative="t" stroked="f" coordsize="21600,21600">
            <v:path/>
            <v:fill on="f" color2="#FFFFFF" focussize="0,0"/>
            <v:stroke on="f"/>
            <v:imagedata r:id="rId20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 w14:paraId="7216003E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  <w:sectPr>
          <w:footerReference r:id="rId7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68E36B60">
      <w:pPr>
        <w:spacing w:before="225" w:line="360" w:lineRule="auto"/>
        <w:ind w:left="482"/>
        <w:jc w:val="both"/>
        <w:outlineLvl w:val="0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5"/>
          <w:position w:val="-2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pacing w:val="5"/>
          <w:position w:val="-2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5"/>
          <w:position w:val="-2"/>
          <w:sz w:val="36"/>
          <w:szCs w:val="36"/>
        </w:rPr>
        <w:t>第三部分</w:t>
      </w:r>
      <w:r>
        <w:rPr>
          <w:rFonts w:hint="eastAsia" w:ascii="宋体" w:hAnsi="宋体" w:eastAsia="宋体" w:cs="宋体"/>
          <w:b/>
          <w:bCs/>
          <w:spacing w:val="103"/>
          <w:position w:val="-2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bCs/>
          <w:spacing w:val="5"/>
          <w:position w:val="-2"/>
          <w:sz w:val="36"/>
          <w:szCs w:val="36"/>
        </w:rPr>
        <w:t>2023年度部门决算情况说明</w:t>
      </w:r>
    </w:p>
    <w:p w14:paraId="27E2D456">
      <w:pPr>
        <w:pStyle w:val="2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C474573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7A0F403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EAEA9DD">
      <w:pPr>
        <w:spacing w:before="101" w:line="360" w:lineRule="auto"/>
        <w:ind w:left="672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一、收入支出决算总体情况说明</w:t>
      </w:r>
    </w:p>
    <w:p w14:paraId="21C6081C">
      <w:pPr>
        <w:spacing w:before="248" w:line="360" w:lineRule="auto"/>
        <w:ind w:right="11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年度收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入4893.3万元</w:t>
      </w:r>
      <w:r>
        <w:rPr>
          <w:rFonts w:hint="eastAsia" w:ascii="宋体" w:hAnsi="宋体" w:eastAsia="宋体" w:cs="宋体"/>
          <w:spacing w:val="4"/>
          <w:sz w:val="24"/>
          <w:szCs w:val="24"/>
        </w:rPr>
        <w:t>、支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出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总计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万元。与</w:t>
      </w:r>
      <w:r>
        <w:rPr>
          <w:rFonts w:hint="eastAsia"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2022</w:t>
      </w:r>
      <w:r>
        <w:rPr>
          <w:rFonts w:hint="eastAsia"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年度相比，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收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入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减少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699.2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万元，下降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12.5</w:t>
      </w:r>
      <w:r>
        <w:rPr>
          <w:rFonts w:hint="eastAsia" w:ascii="宋体" w:hAnsi="宋体" w:eastAsia="宋体" w:cs="宋体"/>
          <w:spacing w:val="4"/>
          <w:sz w:val="24"/>
          <w:szCs w:val="24"/>
        </w:rPr>
        <w:t>%</w:t>
      </w: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支出减少816.01万元，下降14.59%，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主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要原因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是财政拨入项目资金减少。</w:t>
      </w:r>
    </w:p>
    <w:p w14:paraId="16FB764D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574E4BF">
      <w:pPr>
        <w:spacing w:before="50" w:line="360" w:lineRule="auto"/>
        <w:ind w:left="672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二、收入决算情况说明</w:t>
      </w:r>
    </w:p>
    <w:p w14:paraId="08C0FF9A">
      <w:pPr>
        <w:spacing w:before="253" w:line="360" w:lineRule="auto"/>
        <w:ind w:left="23" w:firstLine="64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本年收入合计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4893.3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万元，其中：财政拨款收入</w:t>
      </w:r>
      <w:r>
        <w:rPr>
          <w:rFonts w:hint="eastAsia" w:ascii="宋体" w:hAnsi="宋体" w:eastAsia="宋体" w:cs="宋体"/>
          <w:spacing w:val="24"/>
          <w:sz w:val="24"/>
          <w:szCs w:val="24"/>
          <w:lang w:val="en-US" w:eastAsia="zh-CN"/>
        </w:rPr>
        <w:t>4893.3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比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上年减少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699.2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万元，下降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12.5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%，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主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要原因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是财政拨入项目资金减少</w:t>
      </w:r>
      <w:r>
        <w:rPr>
          <w:rFonts w:hint="eastAsia" w:ascii="宋体" w:hAnsi="宋体" w:eastAsia="宋体" w:cs="宋体"/>
          <w:spacing w:val="4"/>
          <w:sz w:val="24"/>
          <w:szCs w:val="24"/>
        </w:rPr>
        <w:t>。</w:t>
      </w:r>
    </w:p>
    <w:p w14:paraId="4F688B94">
      <w:pPr>
        <w:spacing w:before="158" w:line="360" w:lineRule="auto"/>
        <w:ind w:left="67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三、支出决算情况说明</w:t>
      </w:r>
    </w:p>
    <w:p w14:paraId="26895CD1">
      <w:pPr>
        <w:spacing w:before="251" w:line="360" w:lineRule="auto"/>
        <w:ind w:left="21" w:firstLine="64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本年支出合计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万元，其中：基本支出</w:t>
      </w:r>
      <w:r>
        <w:rPr>
          <w:rFonts w:hint="eastAsia" w:ascii="宋体" w:hAnsi="宋体" w:eastAsia="宋体" w:cs="宋体"/>
          <w:spacing w:val="24"/>
          <w:sz w:val="24"/>
          <w:szCs w:val="24"/>
          <w:lang w:val="en-US" w:eastAsia="zh-CN"/>
        </w:rPr>
        <w:t>1375.76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比上年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增加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118.55</w:t>
      </w:r>
      <w:r>
        <w:rPr>
          <w:rFonts w:hint="eastAsia" w:ascii="宋体" w:hAnsi="宋体" w:eastAsia="宋体" w:cs="宋体"/>
          <w:spacing w:val="7"/>
          <w:sz w:val="24"/>
          <w:szCs w:val="24"/>
        </w:rPr>
        <w:t>万元，增长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9.42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%，主要是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增加消防队人员支出；</w:t>
      </w:r>
      <w:r>
        <w:rPr>
          <w:rFonts w:hint="eastAsia" w:ascii="宋体" w:hAnsi="宋体" w:eastAsia="宋体" w:cs="宋体"/>
          <w:spacing w:val="6"/>
          <w:sz w:val="24"/>
          <w:szCs w:val="24"/>
        </w:rPr>
        <w:t>项目支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3401.09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出</w:t>
      </w:r>
      <w:r>
        <w:rPr>
          <w:rFonts w:hint="eastAsia" w:ascii="宋体" w:hAnsi="宋体" w:eastAsia="宋体" w:cs="宋体"/>
          <w:spacing w:val="4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-7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比上年减少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934.2</w:t>
      </w:r>
      <w:r>
        <w:rPr>
          <w:rFonts w:hint="eastAsia"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万元，下降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21.55</w:t>
      </w:r>
      <w:r>
        <w:rPr>
          <w:rFonts w:hint="eastAsia" w:ascii="宋体" w:hAnsi="宋体" w:eastAsia="宋体" w:cs="宋体"/>
          <w:spacing w:val="3"/>
          <w:sz w:val="24"/>
          <w:szCs w:val="24"/>
        </w:rPr>
        <w:t>%，主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要是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项目减少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。</w:t>
      </w:r>
    </w:p>
    <w:p w14:paraId="0166C559">
      <w:pPr>
        <w:spacing w:before="101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四、财政拨款收入支出决算总体情况说明</w:t>
      </w:r>
    </w:p>
    <w:p w14:paraId="3FC8224B">
      <w:pPr>
        <w:spacing w:before="248" w:line="360" w:lineRule="auto"/>
        <w:ind w:right="11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年度财政拨款收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入4893.3万元</w:t>
      </w:r>
      <w:r>
        <w:rPr>
          <w:rFonts w:hint="eastAsia" w:ascii="宋体" w:hAnsi="宋体" w:eastAsia="宋体" w:cs="宋体"/>
          <w:spacing w:val="4"/>
          <w:sz w:val="24"/>
          <w:szCs w:val="24"/>
        </w:rPr>
        <w:t>、支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出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总计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万元。与</w:t>
      </w:r>
      <w:r>
        <w:rPr>
          <w:rFonts w:hint="eastAsia"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2022</w:t>
      </w:r>
      <w:r>
        <w:rPr>
          <w:rFonts w:hint="eastAsia"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年度相比，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收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入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减少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699.2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万元，下降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12.5</w:t>
      </w:r>
      <w:r>
        <w:rPr>
          <w:rFonts w:hint="eastAsia" w:ascii="宋体" w:hAnsi="宋体" w:eastAsia="宋体" w:cs="宋体"/>
          <w:spacing w:val="4"/>
          <w:sz w:val="24"/>
          <w:szCs w:val="24"/>
        </w:rPr>
        <w:t>%</w:t>
      </w: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支出减少816.01万元，下降14.59%，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主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要原因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是财政拨入项目资金减少。</w:t>
      </w:r>
    </w:p>
    <w:p w14:paraId="58D5C1CD">
      <w:pPr>
        <w:spacing w:before="101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五、一般公共预算财政拨款支出决算情况说明</w:t>
      </w:r>
    </w:p>
    <w:p w14:paraId="2804AE83">
      <w:pPr>
        <w:spacing w:before="248" w:line="360" w:lineRule="auto"/>
        <w:jc w:val="both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一</w:t>
      </w:r>
      <w:r>
        <w:rPr>
          <w:rFonts w:hint="eastAsia" w:ascii="宋体" w:hAnsi="宋体" w:eastAsia="宋体" w:cs="宋体"/>
          <w:spacing w:val="-6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）一般公共预算财政拨款支出决算总体情况</w:t>
      </w:r>
    </w:p>
    <w:p w14:paraId="098A0353">
      <w:pPr>
        <w:widowControl/>
        <w:kinsoku w:val="0"/>
        <w:wordWrap/>
        <w:autoSpaceDE w:val="0"/>
        <w:autoSpaceDN w:val="0"/>
        <w:adjustRightInd w:val="0"/>
        <w:snapToGrid w:val="0"/>
        <w:spacing w:before="0" w:after="0" w:line="360" w:lineRule="auto"/>
        <w:ind w:left="0"/>
        <w:jc w:val="both"/>
        <w:textAlignment w:val="baseline"/>
        <w:outlineLvl w:val="9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 xml:space="preserve">     2</w:t>
      </w:r>
      <w:r>
        <w:rPr>
          <w:rFonts w:hint="eastAsia" w:ascii="宋体" w:hAnsi="宋体" w:eastAsia="宋体" w:cs="宋体"/>
          <w:spacing w:val="4"/>
          <w:sz w:val="24"/>
          <w:szCs w:val="24"/>
        </w:rPr>
        <w:t>023</w:t>
      </w:r>
      <w:r>
        <w:rPr>
          <w:rFonts w:hint="eastAsia"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年度一般公共预算财政拨款支出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万元，占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年支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出合计的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pacing w:val="3"/>
          <w:sz w:val="24"/>
          <w:szCs w:val="24"/>
        </w:rPr>
        <w:t>%。与 2022</w:t>
      </w:r>
      <w:r>
        <w:rPr>
          <w:rFonts w:hint="eastAsia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年度相比，一般公共预算财政拨款支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出减少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816.01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万元，降低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14.59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%。主要原因：</w:t>
      </w:r>
      <w:r>
        <w:rPr>
          <w:rFonts w:hint="eastAsia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项目减少。</w:t>
      </w:r>
    </w:p>
    <w:p w14:paraId="52D0DCA6">
      <w:pPr>
        <w:spacing w:before="51" w:line="360" w:lineRule="auto"/>
        <w:jc w:val="both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（二）</w:t>
      </w:r>
      <w:r>
        <w:rPr>
          <w:rFonts w:hint="eastAsia"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一般公共预算财政拨款支出决算结构情况</w:t>
      </w:r>
    </w:p>
    <w:p w14:paraId="48D997EF">
      <w:pPr>
        <w:spacing w:before="251" w:line="360" w:lineRule="auto"/>
        <w:ind w:left="68" w:right="7" w:firstLine="60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年度一般公共预算财政拨款支出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全部</w:t>
      </w:r>
      <w:r>
        <w:rPr>
          <w:rFonts w:hint="eastAsia" w:ascii="宋体" w:hAnsi="宋体" w:eastAsia="宋体" w:cs="宋体"/>
          <w:spacing w:val="4"/>
          <w:sz w:val="24"/>
          <w:szCs w:val="24"/>
        </w:rPr>
        <w:t>用于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一般公共服务支出</w:t>
      </w:r>
      <w:r>
        <w:rPr>
          <w:rFonts w:hint="eastAsia" w:ascii="宋体" w:hAnsi="宋体" w:eastAsia="宋体" w:cs="宋体"/>
          <w:spacing w:val="-6"/>
          <w:sz w:val="24"/>
          <w:szCs w:val="24"/>
          <w:lang w:eastAsia="zh-CN"/>
        </w:rPr>
        <w:t>。</w:t>
      </w:r>
    </w:p>
    <w:p w14:paraId="1F15D60D">
      <w:pPr>
        <w:spacing w:before="52" w:line="360" w:lineRule="auto"/>
        <w:jc w:val="both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（三）</w:t>
      </w:r>
      <w:r>
        <w:rPr>
          <w:rFonts w:hint="eastAsia"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一般公共预算财政拨款支出决算具体情况</w:t>
      </w:r>
    </w:p>
    <w:p w14:paraId="52B790F4">
      <w:pPr>
        <w:spacing w:before="248" w:line="360" w:lineRule="auto"/>
        <w:ind w:left="38" w:right="86" w:firstLine="63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2023 年度一般公共预算财政拨款支出年初预算为</w:t>
      </w:r>
      <w:r>
        <w:rPr>
          <w:rFonts w:hint="eastAsia" w:ascii="宋体" w:hAnsi="宋体" w:eastAsia="宋体" w:cs="宋体"/>
          <w:spacing w:val="33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万</w:t>
      </w: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元，支出决算为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万元，完成年初预算的  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pacing w:val="4"/>
          <w:sz w:val="24"/>
          <w:szCs w:val="24"/>
        </w:rPr>
        <w:t>%。其中：</w:t>
      </w:r>
    </w:p>
    <w:p w14:paraId="14544555">
      <w:pPr>
        <w:spacing w:before="54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2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1.一般公共服务（类）</w:t>
      </w:r>
      <w:r>
        <w:rPr>
          <w:rFonts w:hint="eastAsia"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财政事务（款）</w:t>
      </w:r>
      <w:r>
        <w:rPr>
          <w:rFonts w:hint="eastAsia"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行政运行（项）</w:t>
      </w:r>
      <w:r>
        <w:rPr>
          <w:rFonts w:hint="eastAsia" w:ascii="宋体" w:hAnsi="宋体" w:eastAsia="宋体" w:cs="宋体"/>
          <w:spacing w:val="-8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年初预算为</w:t>
      </w:r>
      <w:r>
        <w:rPr>
          <w:rFonts w:hint="eastAsia" w:ascii="宋体" w:hAnsi="宋体" w:eastAsia="宋体" w:cs="宋体"/>
          <w:spacing w:val="59"/>
          <w:sz w:val="24"/>
          <w:szCs w:val="24"/>
          <w:lang w:val="en-US" w:eastAsia="zh-CN"/>
        </w:rPr>
        <w:t>1375.76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-7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支出决算为</w:t>
      </w:r>
      <w:r>
        <w:rPr>
          <w:rFonts w:hint="eastAsia" w:ascii="宋体" w:hAnsi="宋体" w:eastAsia="宋体" w:cs="宋体"/>
          <w:spacing w:val="58"/>
          <w:sz w:val="24"/>
          <w:szCs w:val="24"/>
          <w:lang w:val="en-US" w:eastAsia="zh-CN"/>
        </w:rPr>
        <w:t>1375.76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完成年初预算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的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pacing w:val="4"/>
          <w:sz w:val="24"/>
          <w:szCs w:val="24"/>
        </w:rPr>
        <w:t>%。</w:t>
      </w:r>
    </w:p>
    <w:p w14:paraId="7BB59DC6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2.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项目支出</w:t>
      </w:r>
      <w:r>
        <w:rPr>
          <w:rFonts w:hint="eastAsia" w:ascii="宋体" w:hAnsi="宋体" w:eastAsia="宋体" w:cs="宋体"/>
          <w:sz w:val="24"/>
          <w:szCs w:val="24"/>
        </w:rPr>
        <w:t>年初预算为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3401.09</w:t>
      </w:r>
      <w:r>
        <w:rPr>
          <w:rFonts w:hint="eastAsia" w:ascii="宋体" w:hAnsi="宋体" w:eastAsia="宋体" w:cs="宋体"/>
          <w:sz w:val="24"/>
          <w:szCs w:val="24"/>
        </w:rPr>
        <w:t>万元，支出决算为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3401.09</w:t>
      </w:r>
      <w:r>
        <w:rPr>
          <w:rFonts w:hint="eastAsia" w:ascii="宋体" w:hAnsi="宋体" w:eastAsia="宋体" w:cs="宋体"/>
          <w:sz w:val="24"/>
          <w:szCs w:val="24"/>
        </w:rPr>
        <w:t>万元，完成年初预算的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z w:val="24"/>
          <w:szCs w:val="24"/>
        </w:rPr>
        <w:t xml:space="preserve"> %。</w:t>
      </w:r>
    </w:p>
    <w:p w14:paraId="1E45572F">
      <w:pPr>
        <w:spacing w:before="101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六、一般公共预算财政拨款基本支出决算情况说明</w:t>
      </w:r>
    </w:p>
    <w:p w14:paraId="24D574F8">
      <w:pPr>
        <w:spacing w:before="247" w:line="360" w:lineRule="auto"/>
        <w:ind w:left="64" w:right="96" w:firstLine="607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2023年度一般公共预算财政拨款基本支出</w:t>
      </w:r>
      <w:r>
        <w:rPr>
          <w:rFonts w:hint="eastAsia" w:ascii="宋体" w:hAnsi="宋体" w:eastAsia="宋体" w:cs="宋体"/>
          <w:spacing w:val="33"/>
          <w:sz w:val="24"/>
          <w:szCs w:val="24"/>
          <w:lang w:val="en-US" w:eastAsia="zh-CN"/>
        </w:rPr>
        <w:t>1375.76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万元，其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0"/>
          <w:sz w:val="24"/>
          <w:szCs w:val="24"/>
        </w:rPr>
        <w:t>中：</w:t>
      </w:r>
    </w:p>
    <w:p w14:paraId="342E23B5">
      <w:pPr>
        <w:spacing w:before="53" w:line="360" w:lineRule="auto"/>
        <w:ind w:left="29" w:right="98" w:firstLine="64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人员经费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577.65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万元</w:t>
      </w:r>
      <w:r>
        <w:rPr>
          <w:rFonts w:hint="eastAsia" w:ascii="宋体" w:hAnsi="宋体" w:eastAsia="宋体" w:cs="宋体"/>
          <w:spacing w:val="7"/>
          <w:sz w:val="24"/>
          <w:szCs w:val="24"/>
        </w:rPr>
        <w:t>，主要包括：基本工资、津贴补贴、奖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金、伙食补助费、绩效工资、机关事业单位基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本养老保险缴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费、职业年金缴费、职工基本医疗保险缴费</w:t>
      </w:r>
      <w:r>
        <w:rPr>
          <w:rFonts w:hint="eastAsia" w:ascii="宋体" w:hAnsi="宋体" w:eastAsia="宋体" w:cs="宋体"/>
          <w:spacing w:val="5"/>
          <w:sz w:val="24"/>
          <w:szCs w:val="24"/>
        </w:rPr>
        <w:t>、其他社会保障缴费、住房公积金、</w:t>
      </w:r>
      <w:r>
        <w:rPr>
          <w:rFonts w:hint="eastAsia"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其他工</w:t>
      </w:r>
      <w:r>
        <w:rPr>
          <w:rFonts w:hint="eastAsia" w:ascii="宋体" w:hAnsi="宋体" w:eastAsia="宋体" w:cs="宋体"/>
          <w:spacing w:val="3"/>
          <w:sz w:val="24"/>
          <w:szCs w:val="24"/>
        </w:rPr>
        <w:t>资福利支出</w:t>
      </w:r>
      <w:r>
        <w:rPr>
          <w:rFonts w:hint="eastAsia" w:ascii="宋体" w:hAnsi="宋体" w:eastAsia="宋体" w:cs="宋体"/>
          <w:spacing w:val="8"/>
          <w:sz w:val="24"/>
          <w:szCs w:val="24"/>
        </w:rPr>
        <w:t>。</w:t>
      </w:r>
    </w:p>
    <w:p w14:paraId="0DCBDB4D">
      <w:pPr>
        <w:spacing w:before="254" w:line="360" w:lineRule="auto"/>
        <w:ind w:left="26" w:firstLine="641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公用经费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619.28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万元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，主要包括：办公费、印刷费、咨询费、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手续费、水费、电费、邮电费、取暖费、物业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管理费、差旅</w:t>
      </w:r>
      <w:r>
        <w:rPr>
          <w:rFonts w:hint="eastAsia" w:ascii="宋体" w:hAnsi="宋体" w:eastAsia="宋体" w:cs="宋体"/>
          <w:sz w:val="24"/>
          <w:szCs w:val="24"/>
        </w:rPr>
        <w:t xml:space="preserve"> 费、因公出国（境）费、维修（护）费、租赁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费、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公务接待费、专用材料费、劳务费、委托业务费、工会经费、福利费、公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务用车运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行维护费、其他交通费用、其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他商品和服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务支出、办公设备购置</w:t>
      </w: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>费等。</w:t>
      </w:r>
    </w:p>
    <w:p w14:paraId="602CFD8B">
      <w:pPr>
        <w:spacing w:before="101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七、政府性基金预算财政拨款收入支出决算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情况说明</w:t>
      </w:r>
    </w:p>
    <w:p w14:paraId="58AC2CE9">
      <w:pPr>
        <w:spacing w:before="50" w:line="360" w:lineRule="auto"/>
        <w:ind w:left="34" w:right="158" w:firstLine="656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3"/>
          <w:sz w:val="24"/>
          <w:szCs w:val="24"/>
        </w:rPr>
        <w:t>2023年度</w:t>
      </w:r>
      <w:r>
        <w:rPr>
          <w:rFonts w:hint="eastAsia" w:ascii="宋体" w:hAnsi="宋体" w:eastAsia="宋体" w:cs="宋体"/>
          <w:spacing w:val="33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spacing w:val="33"/>
          <w:sz w:val="24"/>
          <w:szCs w:val="24"/>
        </w:rPr>
        <w:t>政府性基金预算财政拨款</w:t>
      </w:r>
      <w:r>
        <w:rPr>
          <w:rFonts w:hint="eastAsia" w:ascii="宋体" w:hAnsi="宋体" w:eastAsia="宋体" w:cs="宋体"/>
          <w:spacing w:val="33"/>
          <w:sz w:val="24"/>
          <w:szCs w:val="24"/>
          <w:lang w:val="en-US" w:eastAsia="zh-CN"/>
        </w:rPr>
        <w:t>收支</w:t>
      </w:r>
      <w:r>
        <w:rPr>
          <w:rFonts w:hint="eastAsia" w:ascii="宋体" w:hAnsi="宋体" w:eastAsia="宋体" w:cs="宋体"/>
          <w:spacing w:val="33"/>
          <w:sz w:val="24"/>
          <w:szCs w:val="24"/>
          <w:lang w:eastAsia="zh-CN"/>
        </w:rPr>
        <w:t>。</w:t>
      </w:r>
    </w:p>
    <w:p w14:paraId="3CE6C686">
      <w:pPr>
        <w:spacing w:before="158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八、国有资本经营预算财政拨款支出决算情况说明</w:t>
      </w:r>
    </w:p>
    <w:p w14:paraId="654E7D84">
      <w:pPr>
        <w:spacing w:before="255" w:line="360" w:lineRule="auto"/>
        <w:ind w:left="23" w:firstLine="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2023年度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国有资本经营预算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收支。</w:t>
      </w:r>
    </w:p>
    <w:p w14:paraId="26E5E44C">
      <w:pPr>
        <w:spacing w:before="51" w:line="360" w:lineRule="auto"/>
        <w:ind w:left="33" w:right="84" w:firstLine="657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53857DF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F7E0A9A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0FAC6C2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1F47452D">
      <w:pPr>
        <w:spacing w:before="101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九、财政拨款“三公”经费支出决算情况说明</w:t>
      </w:r>
    </w:p>
    <w:p w14:paraId="26713296">
      <w:pPr>
        <w:spacing w:before="249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一）“三公”经费财政拨款支出决算总体情况说明</w:t>
      </w:r>
    </w:p>
    <w:p w14:paraId="0B70C802">
      <w:pPr>
        <w:spacing w:before="0" w:line="360" w:lineRule="auto"/>
        <w:ind w:left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年度“三公”经费财政拨款支出预算为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51.51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万元，支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出决算为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51.51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万元，完成预算的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%；较</w:t>
      </w:r>
      <w:r>
        <w:rPr>
          <w:rFonts w:hint="eastAsia" w:ascii="宋体" w:hAnsi="宋体" w:eastAsia="宋体" w:cs="宋体"/>
          <w:spacing w:val="-2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2022</w:t>
      </w:r>
      <w:r>
        <w:rPr>
          <w:rFonts w:hint="eastAsia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年度增加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2.23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万元，增长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4.52</w:t>
      </w:r>
      <w:r>
        <w:rPr>
          <w:rFonts w:hint="eastAsia" w:ascii="宋体" w:hAnsi="宋体" w:eastAsia="宋体" w:cs="宋体"/>
          <w:spacing w:val="4"/>
          <w:sz w:val="24"/>
          <w:szCs w:val="24"/>
        </w:rPr>
        <w:t>%，主要原因是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有大型招商活动，招待费增加；车辆购买年限已久，维修保养费用增加</w:t>
      </w:r>
      <w:r>
        <w:rPr>
          <w:rFonts w:hint="eastAsia" w:ascii="宋体" w:hAnsi="宋体" w:eastAsia="宋体" w:cs="宋体"/>
          <w:spacing w:val="4"/>
          <w:sz w:val="24"/>
          <w:szCs w:val="24"/>
        </w:rPr>
        <w:t>。</w:t>
      </w:r>
    </w:p>
    <w:p w14:paraId="7E9BA2D7">
      <w:pPr>
        <w:spacing w:before="5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（二）“三公”经费财政拨款支出决算具体情况说明</w:t>
      </w:r>
    </w:p>
    <w:p w14:paraId="30F72B98">
      <w:pPr>
        <w:spacing w:before="248" w:line="360" w:lineRule="auto"/>
        <w:ind w:left="23" w:right="74" w:firstLine="668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1.因公出国（境）费预算为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万元</w:t>
      </w:r>
      <w:r>
        <w:rPr>
          <w:rFonts w:hint="eastAsia" w:ascii="宋体" w:hAnsi="宋体" w:eastAsia="宋体" w:cs="宋体"/>
          <w:spacing w:val="2"/>
          <w:sz w:val="24"/>
          <w:szCs w:val="24"/>
        </w:rPr>
        <w:t>。</w:t>
      </w:r>
    </w:p>
    <w:p w14:paraId="3537879C">
      <w:pPr>
        <w:spacing w:before="57" w:line="360" w:lineRule="auto"/>
        <w:ind w:left="23" w:right="156" w:firstLine="648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1"/>
          <w:sz w:val="24"/>
          <w:szCs w:val="24"/>
        </w:rPr>
        <w:t>2.公务用车购置及运行费预算为</w:t>
      </w:r>
      <w:r>
        <w:rPr>
          <w:rFonts w:hint="eastAsia" w:ascii="宋体" w:hAnsi="宋体" w:eastAsia="宋体" w:cs="宋体"/>
          <w:spacing w:val="21"/>
          <w:sz w:val="24"/>
          <w:szCs w:val="24"/>
          <w:lang w:val="en-US" w:eastAsia="zh-CN"/>
        </w:rPr>
        <w:t>48.69</w:t>
      </w:r>
      <w:r>
        <w:rPr>
          <w:rFonts w:hint="eastAsia" w:ascii="宋体" w:hAnsi="宋体" w:eastAsia="宋体" w:cs="宋体"/>
          <w:spacing w:val="21"/>
          <w:sz w:val="24"/>
          <w:szCs w:val="24"/>
        </w:rPr>
        <w:t>万元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，支出决算为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48.69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万元，完成预算的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48.69</w:t>
      </w:r>
      <w:r>
        <w:rPr>
          <w:rFonts w:hint="eastAsia" w:ascii="宋体" w:hAnsi="宋体" w:eastAsia="宋体" w:cs="宋体"/>
          <w:spacing w:val="4"/>
          <w:sz w:val="24"/>
          <w:szCs w:val="24"/>
        </w:rPr>
        <w:t>%；较</w:t>
      </w:r>
      <w:r>
        <w:rPr>
          <w:rFonts w:hint="eastAsia"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2022</w:t>
      </w:r>
      <w:r>
        <w:rPr>
          <w:rFonts w:hint="eastAsia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年度增加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1.53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万元，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增长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3.2</w:t>
      </w:r>
      <w:r>
        <w:rPr>
          <w:rFonts w:hint="eastAsia" w:ascii="宋体" w:hAnsi="宋体" w:eastAsia="宋体" w:cs="宋体"/>
          <w:spacing w:val="6"/>
          <w:sz w:val="24"/>
          <w:szCs w:val="24"/>
        </w:rPr>
        <w:t>%，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车辆购买年限已久，维修保养费用增加，保有量为8台</w:t>
      </w:r>
      <w:r>
        <w:rPr>
          <w:rFonts w:hint="eastAsia" w:ascii="宋体" w:hAnsi="宋体" w:eastAsia="宋体" w:cs="宋体"/>
          <w:spacing w:val="6"/>
          <w:sz w:val="24"/>
          <w:szCs w:val="24"/>
        </w:rPr>
        <w:t>。</w:t>
      </w:r>
    </w:p>
    <w:p w14:paraId="28F877B7">
      <w:pPr>
        <w:spacing w:before="0" w:line="360" w:lineRule="auto"/>
        <w:ind w:left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公务用车运行维护费支出</w:t>
      </w:r>
      <w:r>
        <w:rPr>
          <w:rFonts w:hint="eastAsia" w:ascii="宋体" w:hAnsi="宋体" w:eastAsia="宋体" w:cs="宋体"/>
          <w:spacing w:val="21"/>
          <w:sz w:val="24"/>
          <w:szCs w:val="24"/>
          <w:lang w:val="en-US" w:eastAsia="zh-CN"/>
        </w:rPr>
        <w:t>48.69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万元，主要是</w:t>
      </w:r>
      <w:r>
        <w:rPr>
          <w:rFonts w:hint="eastAsia"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燃油费和维修保养费</w:t>
      </w:r>
      <w:r>
        <w:rPr>
          <w:rFonts w:hint="eastAsia" w:ascii="宋体" w:hAnsi="宋体" w:eastAsia="宋体" w:cs="宋体"/>
          <w:spacing w:val="3"/>
          <w:sz w:val="24"/>
          <w:szCs w:val="24"/>
        </w:rPr>
        <w:t>。</w:t>
      </w:r>
    </w:p>
    <w:p w14:paraId="2CAFED55">
      <w:pPr>
        <w:spacing w:before="160" w:line="360" w:lineRule="auto"/>
        <w:ind w:right="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公务接待费预算为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2.82</w:t>
      </w:r>
      <w:r>
        <w:rPr>
          <w:rFonts w:hint="eastAsia" w:ascii="宋体" w:hAnsi="宋体" w:eastAsia="宋体" w:cs="宋体"/>
          <w:spacing w:val="7"/>
          <w:sz w:val="24"/>
          <w:szCs w:val="24"/>
        </w:rPr>
        <w:t>万元，支出决算为</w:t>
      </w:r>
      <w:r>
        <w:rPr>
          <w:rFonts w:hint="eastAsia" w:ascii="宋体" w:hAnsi="宋体" w:eastAsia="宋体" w:cs="宋体"/>
          <w:spacing w:val="21"/>
          <w:sz w:val="24"/>
          <w:szCs w:val="24"/>
          <w:lang w:val="en-US" w:eastAsia="zh-CN"/>
        </w:rPr>
        <w:t>2.82</w:t>
      </w:r>
      <w:r>
        <w:rPr>
          <w:rFonts w:hint="eastAsia" w:ascii="宋体" w:hAnsi="宋体" w:eastAsia="宋体" w:cs="宋体"/>
          <w:spacing w:val="7"/>
          <w:sz w:val="24"/>
          <w:szCs w:val="24"/>
        </w:rPr>
        <w:t>万元，完成预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算的</w:t>
      </w:r>
      <w:r>
        <w:rPr>
          <w:rFonts w:hint="eastAsia" w:ascii="宋体" w:hAnsi="宋体" w:eastAsia="宋体" w:cs="宋体"/>
          <w:spacing w:val="-17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%；较</w:t>
      </w:r>
      <w:r>
        <w:rPr>
          <w:rFonts w:hint="eastAsia"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2022</w:t>
      </w:r>
      <w:r>
        <w:rPr>
          <w:rFonts w:hint="eastAsia"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年度增加</w:t>
      </w:r>
      <w:r>
        <w:rPr>
          <w:rFonts w:hint="eastAsia" w:ascii="宋体" w:hAnsi="宋体" w:eastAsia="宋体" w:cs="宋体"/>
          <w:spacing w:val="-17"/>
          <w:sz w:val="24"/>
          <w:szCs w:val="24"/>
          <w:lang w:val="en-US" w:eastAsia="zh-CN"/>
        </w:rPr>
        <w:t>0.69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万元，增长</w:t>
      </w:r>
      <w:r>
        <w:rPr>
          <w:rFonts w:hint="eastAsia" w:ascii="宋体" w:hAnsi="宋体" w:eastAsia="宋体" w:cs="宋体"/>
          <w:spacing w:val="-17"/>
          <w:sz w:val="24"/>
          <w:szCs w:val="24"/>
          <w:lang w:val="en-US" w:eastAsia="zh-CN"/>
        </w:rPr>
        <w:t>32.55</w:t>
      </w:r>
      <w:r>
        <w:rPr>
          <w:rFonts w:hint="eastAsia" w:ascii="宋体" w:hAnsi="宋体" w:eastAsia="宋体" w:cs="宋体"/>
          <w:spacing w:val="-7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%，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</w:rPr>
        <w:t>主要原因是</w:t>
      </w:r>
      <w:r>
        <w:rPr>
          <w:rFonts w:hint="eastAsia" w:ascii="宋体" w:hAnsi="宋体" w:eastAsia="宋体" w:cs="宋体"/>
          <w:spacing w:val="25"/>
          <w:sz w:val="24"/>
          <w:szCs w:val="24"/>
          <w:lang w:val="en-US" w:eastAsia="zh-CN"/>
        </w:rPr>
        <w:t>增加大型招商活动</w:t>
      </w:r>
      <w:r>
        <w:rPr>
          <w:rFonts w:hint="eastAsia" w:ascii="宋体" w:hAnsi="宋体" w:eastAsia="宋体" w:cs="宋体"/>
          <w:spacing w:val="25"/>
          <w:sz w:val="24"/>
          <w:szCs w:val="24"/>
        </w:rPr>
        <w:t>。</w:t>
      </w:r>
    </w:p>
    <w:p w14:paraId="3D4D8796">
      <w:pPr>
        <w:spacing w:before="101" w:line="360" w:lineRule="auto"/>
        <w:jc w:val="both"/>
        <w:outlineLvl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十、关于</w:t>
      </w:r>
      <w:r>
        <w:rPr>
          <w:rFonts w:hint="eastAsia"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年度绩效评价情况说明</w:t>
      </w:r>
    </w:p>
    <w:p w14:paraId="0B0C866F">
      <w:pPr>
        <w:spacing w:before="0" w:after="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一）绩效评价工作开展情况。绩效评价工作开展情况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说明为：根据预算绩效管理要求，本部门组织对2023年度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项目预算支出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全面开展绩效自评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>其中</w:t>
      </w:r>
      <w:r>
        <w:rPr>
          <w:rFonts w:hint="eastAsia" w:ascii="宋体" w:hAnsi="宋体" w:eastAsia="宋体" w:cs="宋体"/>
          <w:spacing w:val="9"/>
          <w:sz w:val="24"/>
          <w:szCs w:val="24"/>
        </w:rPr>
        <w:t>一般公共预算项目支出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涉及资金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3401.09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>全部项目预算</w:t>
      </w:r>
      <w:r>
        <w:rPr>
          <w:rFonts w:hint="eastAsia" w:ascii="宋体" w:hAnsi="宋体" w:eastAsia="宋体" w:cs="宋体"/>
          <w:spacing w:val="-76"/>
          <w:sz w:val="24"/>
          <w:szCs w:val="24"/>
          <w:lang w:val="en-US" w:eastAsia="zh-CN"/>
        </w:rPr>
        <w:t xml:space="preserve">支出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总额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的100%。</w:t>
      </w:r>
    </w:p>
    <w:p w14:paraId="26F19B01">
      <w:pPr>
        <w:spacing w:before="0" w:beforeAutospacing="0" w:line="360" w:lineRule="auto"/>
        <w:ind w:right="106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组织对本部门开展整体支出绩效评价，涉及一般公共预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算支出</w:t>
      </w:r>
      <w:r>
        <w:rPr>
          <w:rFonts w:hint="eastAsia" w:ascii="宋体" w:hAnsi="宋体" w:eastAsia="宋体" w:cs="宋体"/>
          <w:spacing w:val="-6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4776.85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政府性基金预算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。</w:t>
      </w:r>
    </w:p>
    <w:p w14:paraId="05CEDF92">
      <w:pPr>
        <w:spacing w:before="100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十一、其他重要事项情况说明</w:t>
      </w:r>
    </w:p>
    <w:p w14:paraId="55568560">
      <w:pPr>
        <w:spacing w:before="248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7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一）机关运行经费执行情况说明</w:t>
      </w:r>
    </w:p>
    <w:p w14:paraId="6D0A8F19">
      <w:pPr>
        <w:spacing w:before="251" w:line="360" w:lineRule="auto"/>
        <w:ind w:left="19" w:right="170" w:firstLine="652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2023年度机关运行经费支出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1375.76</w:t>
      </w:r>
      <w:r>
        <w:rPr>
          <w:rFonts w:hint="eastAsia" w:ascii="宋体" w:hAnsi="宋体" w:eastAsia="宋体" w:cs="宋体"/>
          <w:spacing w:val="7"/>
          <w:sz w:val="24"/>
          <w:szCs w:val="24"/>
        </w:rPr>
        <w:t>万元，较2022年度增加</w:t>
      </w:r>
      <w:r>
        <w:rPr>
          <w:rFonts w:hint="eastAsia" w:ascii="宋体" w:hAnsi="宋体" w:eastAsia="宋体" w:cs="宋体"/>
          <w:spacing w:val="14"/>
          <w:sz w:val="24"/>
          <w:szCs w:val="24"/>
          <w:lang w:val="en-US" w:eastAsia="zh-CN"/>
        </w:rPr>
        <w:t>118.55</w:t>
      </w:r>
      <w:r>
        <w:rPr>
          <w:rFonts w:hint="eastAsia" w:ascii="宋体" w:hAnsi="宋体" w:eastAsia="宋体" w:cs="宋体"/>
          <w:spacing w:val="-4"/>
          <w:sz w:val="24"/>
          <w:szCs w:val="24"/>
        </w:rPr>
        <w:t xml:space="preserve">  万元，增长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9.42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%，主要是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增加消防队人员支出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。</w:t>
      </w:r>
    </w:p>
    <w:p w14:paraId="5685E2EE">
      <w:pPr>
        <w:spacing w:before="48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7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9"/>
          <w:sz w:val="24"/>
          <w:szCs w:val="24"/>
        </w:rPr>
        <w:t>政府采购支出情况说明</w:t>
      </w:r>
    </w:p>
    <w:p w14:paraId="6F47EF0A">
      <w:pPr>
        <w:spacing w:before="249" w:line="360" w:lineRule="auto"/>
        <w:ind w:left="29" w:right="24" w:firstLine="641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2023 年度政府采购支出总额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0.47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万元，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其中：政府采购货物支出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0.47</w:t>
      </w:r>
      <w:r>
        <w:rPr>
          <w:rFonts w:hint="eastAsia" w:ascii="宋体" w:hAnsi="宋体" w:eastAsia="宋体" w:cs="宋体"/>
          <w:spacing w:val="7"/>
          <w:sz w:val="24"/>
          <w:szCs w:val="24"/>
        </w:rPr>
        <w:t>万元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%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。</w:t>
      </w:r>
    </w:p>
    <w:p w14:paraId="41FFCAC4">
      <w:pPr>
        <w:spacing w:before="48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（三）国有资产占用情况说明</w:t>
      </w:r>
    </w:p>
    <w:p w14:paraId="17711F84">
      <w:pPr>
        <w:spacing w:before="286" w:line="360" w:lineRule="auto"/>
        <w:ind w:left="21" w:firstLine="65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截至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2023</w:t>
      </w:r>
      <w:r>
        <w:rPr>
          <w:rFonts w:hint="eastAsia"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 12 月</w:t>
      </w:r>
      <w:r>
        <w:rPr>
          <w:rFonts w:hint="eastAsia"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31 日，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长春五棵树经济开发区管理委员会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共有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公务用车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pacing w:val="7"/>
          <w:sz w:val="24"/>
          <w:szCs w:val="24"/>
        </w:rPr>
        <w:t>辆，其中，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应急保障用车</w:t>
      </w:r>
      <w:r>
        <w:rPr>
          <w:rFonts w:hint="eastAsia" w:ascii="宋体" w:hAnsi="宋体" w:eastAsia="宋体" w:cs="宋体"/>
          <w:spacing w:val="-64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辆、特种专业技术用车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辆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其他用车</w:t>
      </w:r>
      <w:r>
        <w:rPr>
          <w:rFonts w:hint="eastAsia" w:ascii="宋体" w:hAnsi="宋体" w:eastAsia="宋体" w:cs="宋体"/>
          <w:spacing w:val="-67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辆，其他用车主要是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办公用车</w:t>
      </w:r>
      <w:r>
        <w:rPr>
          <w:rFonts w:hint="eastAsia" w:ascii="宋体" w:hAnsi="宋体" w:eastAsia="宋体" w:cs="宋体"/>
          <w:spacing w:val="8"/>
          <w:sz w:val="24"/>
          <w:szCs w:val="24"/>
        </w:rPr>
        <w:t>；单</w:t>
      </w:r>
      <w:r>
        <w:rPr>
          <w:rFonts w:hint="eastAsia" w:ascii="宋体" w:hAnsi="宋体" w:eastAsia="宋体" w:cs="宋体"/>
          <w:spacing w:val="2"/>
          <w:sz w:val="24"/>
          <w:szCs w:val="24"/>
        </w:rPr>
        <w:t>位价值</w:t>
      </w:r>
      <w:r>
        <w:rPr>
          <w:rFonts w:hint="eastAsia" w:ascii="宋体" w:hAnsi="宋体" w:eastAsia="宋体" w:cs="宋体"/>
          <w:spacing w:val="-25"/>
          <w:sz w:val="24"/>
          <w:szCs w:val="24"/>
          <w:lang w:val="en-US" w:eastAsia="zh-CN"/>
        </w:rPr>
        <w:t>均在</w:t>
      </w:r>
      <w:r>
        <w:rPr>
          <w:rFonts w:hint="eastAsia" w:ascii="宋体" w:hAnsi="宋体" w:eastAsia="宋体" w:cs="宋体"/>
          <w:spacing w:val="2"/>
          <w:sz w:val="24"/>
          <w:szCs w:val="24"/>
        </w:rPr>
        <w:t>100</w:t>
      </w:r>
      <w:r>
        <w:rPr>
          <w:rFonts w:hint="eastAsia"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万元</w:t>
      </w:r>
      <w:r>
        <w:rPr>
          <w:rFonts w:hint="eastAsia" w:ascii="宋体" w:hAnsi="宋体" w:eastAsia="宋体" w:cs="宋体"/>
          <w:spacing w:val="2"/>
          <w:sz w:val="24"/>
          <w:szCs w:val="24"/>
          <w:lang w:val="en-US" w:eastAsia="zh-CN"/>
        </w:rPr>
        <w:t>以下</w:t>
      </w:r>
      <w:r>
        <w:rPr>
          <w:rFonts w:hint="eastAsia" w:ascii="宋体" w:hAnsi="宋体" w:eastAsia="宋体" w:cs="宋体"/>
          <w:spacing w:val="2"/>
          <w:sz w:val="24"/>
          <w:szCs w:val="24"/>
        </w:rPr>
        <w:t>。</w:t>
      </w:r>
    </w:p>
    <w:p w14:paraId="59B97CE4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  <w:sectPr>
          <w:footerReference r:id="rId8" w:type="default"/>
          <w:pgSz w:w="11907" w:h="16839"/>
          <w:pgMar w:top="1429" w:right="1599" w:bottom="1151" w:left="1672" w:header="0" w:footer="964" w:gutter="0"/>
          <w:paperSrc/>
          <w:pgNumType w:fmt="decimal"/>
          <w:cols w:space="720" w:num="1"/>
        </w:sectPr>
      </w:pPr>
    </w:p>
    <w:p w14:paraId="58141F34">
      <w:pPr>
        <w:spacing w:before="225" w:line="360" w:lineRule="auto"/>
        <w:ind w:left="2186"/>
        <w:jc w:val="both"/>
        <w:outlineLvl w:val="0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4"/>
          <w:position w:val="-2"/>
          <w:sz w:val="36"/>
          <w:szCs w:val="36"/>
        </w:rPr>
        <w:t>第四部分</w:t>
      </w:r>
      <w:r>
        <w:rPr>
          <w:rFonts w:hint="eastAsia" w:ascii="宋体" w:hAnsi="宋体" w:eastAsia="宋体" w:cs="宋体"/>
          <w:b/>
          <w:bCs/>
          <w:spacing w:val="24"/>
          <w:position w:val="-2"/>
          <w:sz w:val="36"/>
          <w:szCs w:val="36"/>
        </w:rPr>
        <w:t xml:space="preserve">   </w:t>
      </w:r>
      <w:r>
        <w:rPr>
          <w:rFonts w:hint="eastAsia" w:ascii="宋体" w:hAnsi="宋体" w:eastAsia="宋体" w:cs="宋体"/>
          <w:b/>
          <w:bCs/>
          <w:spacing w:val="-4"/>
          <w:position w:val="-2"/>
          <w:sz w:val="36"/>
          <w:szCs w:val="36"/>
        </w:rPr>
        <w:t>名词解释</w:t>
      </w:r>
    </w:p>
    <w:p w14:paraId="4243BD75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C380FCD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A35BC97">
      <w:pPr>
        <w:pStyle w:val="2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44E64A6">
      <w:pPr>
        <w:spacing w:before="100" w:line="360" w:lineRule="auto"/>
        <w:ind w:right="1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一、财政拨款收入：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指单位从同级财政部门取得的财政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预算资金。</w:t>
      </w:r>
    </w:p>
    <w:p w14:paraId="37F76EE5">
      <w:pPr>
        <w:spacing w:before="250" w:line="360" w:lineRule="auto"/>
        <w:ind w:right="1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二、上级补助收入：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指从主管部门和上级单位取得的非</w:t>
      </w:r>
      <w:r>
        <w:rPr>
          <w:rFonts w:hint="eastAsia"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财政补助收入。</w:t>
      </w:r>
    </w:p>
    <w:p w14:paraId="22D7ADE5">
      <w:pPr>
        <w:spacing w:before="249" w:line="360" w:lineRule="auto"/>
        <w:ind w:right="18"/>
        <w:jc w:val="both"/>
        <w:outlineLvl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三、事业收入：指事业单位开展专业业务活动及辅助活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动取得的收入。</w:t>
      </w:r>
    </w:p>
    <w:p w14:paraId="19834FB4">
      <w:pPr>
        <w:spacing w:before="249" w:line="360" w:lineRule="auto"/>
        <w:ind w:right="16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四、经营收入：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指事业单位在专业业务活动及其辅助活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动之外开展非独立核算经营活动取得的收入。</w:t>
      </w:r>
    </w:p>
    <w:p w14:paraId="1EA474A4">
      <w:pPr>
        <w:spacing w:before="249" w:line="360" w:lineRule="auto"/>
        <w:ind w:right="1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五、附属单位上缴收入：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指事业单位附属独立核算单位</w:t>
      </w:r>
      <w:r>
        <w:rPr>
          <w:rFonts w:hint="eastAsia"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按照有关规定上缴的收入。</w:t>
      </w:r>
    </w:p>
    <w:p w14:paraId="371C75C2">
      <w:pPr>
        <w:spacing w:before="246" w:line="360" w:lineRule="auto"/>
        <w:ind w:right="1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六、其他收入：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指除上述收入以外的各项收入。包括未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纳入财政预算或财政专户管理的投资收益、银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行存款利息收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入、租金收入、捐赠收入，现金盘盈收入、存货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盘盈收入、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收回已核销应收及预付款项、无法偿付的应付及</w:t>
      </w:r>
      <w:r>
        <w:rPr>
          <w:rFonts w:hint="eastAsia" w:ascii="宋体" w:hAnsi="宋体" w:eastAsia="宋体" w:cs="宋体"/>
          <w:spacing w:val="8"/>
          <w:sz w:val="24"/>
          <w:szCs w:val="24"/>
        </w:rPr>
        <w:t>预收款项，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从省财政以外的同级单位取得的经费、从非省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财政取得的经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费，以及行政单位收到的财政专户管理资金等。</w:t>
      </w:r>
    </w:p>
    <w:p w14:paraId="2F45258F">
      <w:pPr>
        <w:spacing w:before="252" w:line="360" w:lineRule="auto"/>
        <w:ind w:right="1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5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5"/>
          <w:sz w:val="24"/>
          <w:szCs w:val="24"/>
        </w:rPr>
        <w:t>七、使用非财政拨款结余（含专用结余</w:t>
      </w:r>
      <w:r>
        <w:rPr>
          <w:rFonts w:hint="eastAsia" w:ascii="宋体" w:hAnsi="宋体" w:eastAsia="宋体" w:cs="宋体"/>
          <w:b/>
          <w:bCs/>
          <w:spacing w:val="16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指事业单位</w:t>
      </w: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1"/>
          <w:sz w:val="24"/>
          <w:szCs w:val="24"/>
        </w:rPr>
        <w:t>按照预算管理要求使用非财政拨款结余弥补收支差额的金</w:t>
      </w:r>
      <w:r>
        <w:rPr>
          <w:rFonts w:hint="eastAsia"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额，以及使用专用结余安排支出的金额。</w:t>
      </w:r>
    </w:p>
    <w:p w14:paraId="6C4DDA37">
      <w:pPr>
        <w:spacing w:before="249" w:line="360" w:lineRule="auto"/>
        <w:ind w:right="1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八、年初结转和结余：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指单位以前年度尚未完成、结转到本年按有关规定用途继续使用的资金，或项目已完成等产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生的结余资金。</w:t>
      </w:r>
    </w:p>
    <w:p w14:paraId="210D9423">
      <w:pPr>
        <w:spacing w:before="48" w:line="360" w:lineRule="auto"/>
        <w:ind w:right="15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九、结余分配：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指事业单位按照会计制度规定缴纳的所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得税、提取的专用结余以及转入非财政拨款结余的金额等。</w:t>
      </w:r>
    </w:p>
    <w:p w14:paraId="5D5BDAE0">
      <w:pPr>
        <w:spacing w:before="54" w:line="360" w:lineRule="auto"/>
        <w:ind w:right="1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十、年末结转和结余：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指单位按有关规定结</w:t>
      </w:r>
      <w:r>
        <w:rPr>
          <w:rFonts w:hint="eastAsia" w:ascii="宋体" w:hAnsi="宋体" w:eastAsia="宋体" w:cs="宋体"/>
          <w:spacing w:val="6"/>
          <w:sz w:val="24"/>
          <w:szCs w:val="24"/>
        </w:rPr>
        <w:t>转到下年或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1"/>
          <w:sz w:val="24"/>
          <w:szCs w:val="24"/>
        </w:rPr>
        <w:t>以后年度继续使用的资金，或项目已完成等产生的结余资</w:t>
      </w:r>
      <w:r>
        <w:rPr>
          <w:rFonts w:hint="eastAsia"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6"/>
          <w:sz w:val="24"/>
          <w:szCs w:val="24"/>
        </w:rPr>
        <w:t>金。</w:t>
      </w:r>
    </w:p>
    <w:p w14:paraId="737B0C5C">
      <w:pPr>
        <w:spacing w:before="39" w:line="360" w:lineRule="auto"/>
        <w:ind w:right="1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十一、基本支出：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指为保障机构正常运转、完成日常工</w:t>
      </w: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作任务而发生的人员支出和公用支出。</w:t>
      </w:r>
    </w:p>
    <w:p w14:paraId="630A85CE">
      <w:pPr>
        <w:spacing w:before="250" w:line="360" w:lineRule="auto"/>
        <w:ind w:right="15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十二、项目支出：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指在基本支出之外为完成特定行政任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务或事业发展目标所发生的支出。</w:t>
      </w:r>
    </w:p>
    <w:p w14:paraId="6C1836F6">
      <w:pPr>
        <w:spacing w:before="249" w:line="360" w:lineRule="auto"/>
        <w:ind w:right="15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十三、经营支出：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指事业单位在专业业务活动及其辅助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活动之外开展非独立核算经营活动发生的支出。</w:t>
      </w:r>
    </w:p>
    <w:p w14:paraId="3B2E5741">
      <w:pPr>
        <w:spacing w:before="249" w:line="360" w:lineRule="auto"/>
        <w:ind w:right="1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十四、上缴上级支出：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指事业单位按照有关</w:t>
      </w:r>
      <w:r>
        <w:rPr>
          <w:rFonts w:hint="eastAsia" w:ascii="宋体" w:hAnsi="宋体" w:eastAsia="宋体" w:cs="宋体"/>
          <w:spacing w:val="6"/>
          <w:sz w:val="24"/>
          <w:szCs w:val="24"/>
        </w:rPr>
        <w:t>规定上缴上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级单位的支出。</w:t>
      </w:r>
    </w:p>
    <w:p w14:paraId="60AEFF1A">
      <w:pPr>
        <w:spacing w:before="251" w:line="360" w:lineRule="auto"/>
        <w:ind w:right="152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十五、对附属单位补助支出：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指事业单位用财政补助收</w:t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入之外的收入对附属单位补助发生的支出。</w:t>
      </w:r>
    </w:p>
    <w:p w14:paraId="4460DBA3">
      <w:pPr>
        <w:spacing w:before="252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十六、“三公”经费：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纳入省级财政预决算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管理的“三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公”经费，是指省级部门用财政拨款安排的因公出国（境）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费、公务用车购置及运行维护费和公务接待费。是党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政机关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维持运转或完成特定工作任务所开支的相关支出，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是政府行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政开支的一部分。其中，</w:t>
      </w:r>
      <w:r>
        <w:rPr>
          <w:rFonts w:hint="eastAsia"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因公出国（境）费反映公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务出国（境）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的国际旅费、国外城市间交通费、住宿费、伙食费、培训费、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公杂费等支出；公务用车购置及运行费反映单位公务用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车车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辆购置支出（含车辆购置税）及燃料费、维修费、过桥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过路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费、保险费、安全奖励费等支出；公务接待费反映单位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按规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定开支的各类公务接待（含外宾接待）支出。</w:t>
      </w:r>
    </w:p>
    <w:p w14:paraId="3995C6A9">
      <w:pPr>
        <w:spacing w:before="48" w:line="360" w:lineRule="auto"/>
        <w:ind w:right="9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十七、机关运行经费：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指为保障行政单位（包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括参照公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务员法管理的事业单位）运行用于购买货物和服务的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各项资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金，包括办公费、</w:t>
      </w:r>
      <w:r>
        <w:rPr>
          <w:rFonts w:hint="eastAsia"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印刷费、邮电费、差旅费、会议费、福利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费、日常维修费、专用材料及一般设备购置费、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办公用房水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电费、办公用房取暖费、办公用房物业管理费、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公务用车运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行维护费以及其他费用。</w:t>
      </w:r>
    </w:p>
    <w:p w14:paraId="4D54DA7D">
      <w:pPr>
        <w:spacing w:before="250" w:line="360" w:lineRule="auto"/>
        <w:ind w:right="9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十八、******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（对部门使用的所有“项”级政府收支分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类科目，参照《2023年政府收支分类科目》中的科目说明和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中央部门决算公开内容进行说明</w:t>
      </w:r>
      <w:r>
        <w:rPr>
          <w:rFonts w:hint="eastAsia" w:ascii="宋体" w:hAnsi="宋体" w:eastAsia="宋体" w:cs="宋体"/>
          <w:spacing w:val="19"/>
          <w:sz w:val="24"/>
          <w:szCs w:val="24"/>
        </w:rPr>
        <w:t>）：</w:t>
      </w:r>
    </w:p>
    <w:p w14:paraId="798C0F12">
      <w:pPr>
        <w:spacing w:before="250" w:line="360" w:lineRule="auto"/>
        <w:jc w:val="both"/>
        <w:rPr>
          <w:rFonts w:hint="eastAsia" w:ascii="宋体" w:hAnsi="宋体" w:eastAsia="宋体" w:cs="宋体"/>
          <w:color w:val="FF0000"/>
          <w:spacing w:val="5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t>十九、</w:t>
      </w:r>
      <w:r>
        <w:rPr>
          <w:rFonts w:hint="eastAsia"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…</w:t>
      </w:r>
      <w:r>
        <w:rPr>
          <w:rFonts w:hint="eastAsia" w:ascii="宋体" w:hAnsi="宋体" w:eastAsia="宋体" w:cs="宋体"/>
          <w:spacing w:val="-10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…（同上）</w:t>
      </w:r>
    </w:p>
    <w:sectPr>
      <w:footerReference r:id="rId9" w:type="default"/>
      <w:pgSz w:w="11907" w:h="16839"/>
      <w:pgMar w:top="1431" w:right="1785" w:bottom="1153" w:left="1785" w:header="0" w:footer="965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96E99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Arial" w:hAnsi="Arial" w:eastAsia="Arial" w:cs="Arial"/>
        <w:snapToGrid w:val="0"/>
        <w:color w:val="000000"/>
        <w:kern w:val="0"/>
        <w:sz w:val="21"/>
        <w:szCs w:val="21"/>
        <w:lang w:val="en-US" w:eastAsia="en-US" w:bidi="ar-SA"/>
      </w:rPr>
      <w:pict>
        <v:shape id="文本框26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20E20D3F"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7533C">
    <w:pPr>
      <w:spacing w:line="240" w:lineRule="auto"/>
      <w:ind w:left="0"/>
      <w:rPr>
        <w:rFonts w:hint="eastAsia" w:ascii="Times New Roman" w:hAnsi="Times New Roman" w:eastAsia="宋体" w:cs="Times New Roman"/>
        <w:sz w:val="21"/>
        <w:szCs w:val="21"/>
        <w:lang w:val="en-US" w:eastAsia="zh-CN"/>
      </w:rPr>
    </w:pPr>
    <w:r>
      <w:rPr>
        <w:rFonts w:ascii="Arial" w:hAnsi="Arial" w:eastAsia="Arial" w:cs="Arial"/>
        <w:snapToGrid w:val="0"/>
        <w:color w:val="000000"/>
        <w:kern w:val="0"/>
        <w:sz w:val="21"/>
        <w:szCs w:val="21"/>
        <w:lang w:val="en-US" w:eastAsia="en-US" w:bidi="ar-SA"/>
      </w:rPr>
      <w:pict>
        <v:shape id="文本框27" o:spid="_x0000_s2050" o:spt="202" type="#_x0000_t202" style="position:absolute;left:0pt;margin-top:0pt;height:144pt;width:144pt;mso-position-horizontal:center;mso-position-horizontal-relative:margin;mso-wrap-style:none;z-index:251660288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6162F965"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2B2D9">
    <w:pPr>
      <w:spacing w:line="240" w:lineRule="auto"/>
      <w:ind w:left="0"/>
      <w:rPr>
        <w:rFonts w:ascii="Times New Roman" w:hAnsi="Times New Roman" w:eastAsia="Times New Roman" w:cs="Times New Roman"/>
        <w:sz w:val="21"/>
        <w:szCs w:val="21"/>
      </w:rPr>
    </w:pPr>
    <w:r>
      <w:rPr>
        <w:rFonts w:ascii="Arial" w:hAnsi="Arial" w:eastAsia="Arial" w:cs="Arial"/>
        <w:snapToGrid w:val="0"/>
        <w:color w:val="000000"/>
        <w:kern w:val="0"/>
        <w:sz w:val="21"/>
        <w:szCs w:val="21"/>
        <w:lang w:val="en-US" w:eastAsia="en-US" w:bidi="ar-SA"/>
      </w:rPr>
      <w:pict>
        <v:shape id="文本框28" o:spid="_x0000_s2051" o:spt="202" type="#_x0000_t202" style="position:absolute;left:0pt;margin-top:0pt;height:144pt;width:144pt;mso-position-horizontal:center;mso-position-horizontal-relative:margin;mso-wrap-style:none;z-index:251661312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187B813C"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separate"/>
                </w:r>
                <w:r>
                  <w:t>13</w: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7C5E8">
    <w:pPr>
      <w:spacing w:line="240" w:lineRule="auto"/>
      <w:ind w:left="0"/>
      <w:rPr>
        <w:rFonts w:ascii="Times New Roman" w:hAnsi="Times New Roman" w:eastAsia="Times New Roman" w:cs="Times New Roman"/>
        <w:sz w:val="21"/>
        <w:szCs w:val="21"/>
      </w:rPr>
    </w:pPr>
    <w:r>
      <w:rPr>
        <w:rFonts w:ascii="Arial" w:hAnsi="Arial" w:eastAsia="Arial" w:cs="Arial"/>
        <w:snapToGrid w:val="0"/>
        <w:color w:val="000000"/>
        <w:kern w:val="0"/>
        <w:sz w:val="21"/>
        <w:szCs w:val="21"/>
        <w:lang w:val="en-US" w:eastAsia="en-US" w:bidi="ar-SA"/>
      </w:rPr>
      <w:pict>
        <v:shape id="文本框30" o:spid="_x0000_s2052" o:spt="202" type="#_x0000_t202" style="position:absolute;left:0pt;margin-top:0pt;height:144pt;width:144pt;mso-position-horizontal:center;mso-position-horizontal-relative:margin;mso-wrap-style:none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385BA1FB"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separate"/>
                </w:r>
                <w:r>
                  <w:t>17</w:t>
                </w:r>
                <w:r>
                  <w:rPr>
                    <w:rFonts w:hint="eastAsia" w:eastAsia="宋体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82705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81A2F5"/>
    <w:multiLevelType w:val="singleLevel"/>
    <w:tmpl w:val="5981A2F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isplayHorizontalDrawingGridEvery w:val="1"/>
  <w:displayVerticalDrawingGridEvery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D4A43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link w:val="7"/>
    <w:qFormat/>
    <w:uiPriority w:val="0"/>
    <w:rPr>
      <w:rFonts w:eastAsia="宋体"/>
      <w:sz w:val="21"/>
      <w:szCs w:val="20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 Char"/>
    <w:basedOn w:val="1"/>
    <w:link w:val="6"/>
    <w:qFormat/>
    <w:uiPriority w:val="0"/>
    <w:pPr>
      <w:widowControl/>
      <w:spacing w:after="160" w:line="240" w:lineRule="exact"/>
      <w:jc w:val="left"/>
    </w:pPr>
    <w:rPr>
      <w:rFonts w:eastAsia="宋体"/>
      <w:sz w:val="21"/>
      <w:szCs w:val="20"/>
    </w:rPr>
  </w:style>
  <w:style w:type="character" w:styleId="8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0.jpeg"/><Relationship Id="rId2" Type="http://schemas.openxmlformats.org/officeDocument/2006/relationships/settings" Target="settings.xml"/><Relationship Id="rId19" Type="http://schemas.openxmlformats.org/officeDocument/2006/relationships/image" Target="media/image9.jpeg"/><Relationship Id="rId18" Type="http://schemas.openxmlformats.org/officeDocument/2006/relationships/image" Target="media/image8.jpeg"/><Relationship Id="rId17" Type="http://schemas.openxmlformats.org/officeDocument/2006/relationships/image" Target="media/image7.jpeg"/><Relationship Id="rId16" Type="http://schemas.openxmlformats.org/officeDocument/2006/relationships/image" Target="media/image6.jpeg"/><Relationship Id="rId15" Type="http://schemas.openxmlformats.org/officeDocument/2006/relationships/image" Target="media/image5.jpeg"/><Relationship Id="rId14" Type="http://schemas.openxmlformats.org/officeDocument/2006/relationships/image" Target="media/image4.jpeg"/><Relationship Id="rId13" Type="http://schemas.openxmlformats.org/officeDocument/2006/relationships/image" Target="media/image3.jpeg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 textRotate="1"/>
    <customShpInfo spid="_x0000_s2050" textRotate="1"/>
    <customShpInfo spid="_x0000_s2051" textRotate="1"/>
    <customShpInfo spid="_x0000_s2052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5496</Words>
  <Characters>5885</Characters>
  <Lines>0</Lines>
  <Paragraphs>0</Paragraphs>
  <TotalTime>0</TotalTime>
  <ScaleCrop>false</ScaleCrop>
  <LinksUpToDate>false</LinksUpToDate>
  <CharactersWithSpaces>6240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Administrator</cp:lastModifiedBy>
  <cp:lastPrinted>2024-10-29T06:18:00Z</cp:lastPrinted>
  <dcterms:modified xsi:type="dcterms:W3CDTF">2025-02-24T05:50:28Z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2024-08-26T15:58:00Z</vt:filetime>
  </property>
  <property fmtid="{D5CDD505-2E9C-101B-9397-08002B2CF9AE}" pid="4" name="KSOProductBuildVer">
    <vt:lpwstr>2052-12.1.0.19770</vt:lpwstr>
  </property>
  <property fmtid="{D5CDD505-2E9C-101B-9397-08002B2CF9AE}" pid="5" name="KSOTemplateDocerSaveRecord">
    <vt:lpwstr>eyJoZGlkIjoiYzE2Y2QzMWI3N2MxZjBiMmQ0ZDIwOTNlOGJiOTZiMmEifQ==</vt:lpwstr>
  </property>
  <property fmtid="{D5CDD505-2E9C-101B-9397-08002B2CF9AE}" pid="6" name="ICV">
    <vt:lpwstr>66495434A2F646EE8A1758B3969AF1D1_12</vt:lpwstr>
  </property>
</Properties>
</file>